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19E20" w14:textId="0326BEF4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874E85">
        <w:rPr>
          <w:rFonts w:ascii="Times New Roman" w:hAnsi="Times New Roman" w:cs="Times New Roman"/>
          <w:b/>
          <w:sz w:val="28"/>
          <w:szCs w:val="24"/>
        </w:rPr>
        <w:t xml:space="preserve">DODATEK Č. </w:t>
      </w:r>
      <w:r w:rsidR="00107EBD">
        <w:rPr>
          <w:rFonts w:ascii="Times New Roman" w:hAnsi="Times New Roman" w:cs="Times New Roman"/>
          <w:b/>
          <w:sz w:val="28"/>
          <w:szCs w:val="24"/>
        </w:rPr>
        <w:t>5</w:t>
      </w:r>
    </w:p>
    <w:p w14:paraId="680C32E0" w14:textId="77777777" w:rsidR="00874E85" w:rsidRPr="00874E85" w:rsidRDefault="00874E85" w:rsidP="002C0D4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KE SMLOUVĚ O VEŘEJNÝCH SLUŽBÁCH V PŘEPRAVĚ CESTUJÍCÍCH NA ÚZEMÍ STATUTÁRNÍHO MĚSTA CHOMUTOV A O KOMPENZACI ZA TYTO SLUŽBY</w:t>
      </w:r>
    </w:p>
    <w:p w14:paraId="3708A1F4" w14:textId="77777777" w:rsidR="00874E85" w:rsidRPr="00874E85" w:rsidRDefault="00874E85" w:rsidP="00874E85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E85">
        <w:rPr>
          <w:rFonts w:ascii="Times New Roman" w:hAnsi="Times New Roman" w:cs="Times New Roman"/>
          <w:b/>
          <w:sz w:val="24"/>
          <w:szCs w:val="24"/>
        </w:rPr>
        <w:t>uzavřený mezi smluvními stranami</w:t>
      </w:r>
    </w:p>
    <w:p w14:paraId="6139DAAA" w14:textId="77777777" w:rsidR="00874E85" w:rsidRPr="00874E85" w:rsidRDefault="00874E85" w:rsidP="00874E85">
      <w:pPr>
        <w:suppressAutoHyphens/>
        <w:spacing w:after="0" w:line="240" w:lineRule="auto"/>
        <w:ind w:right="-1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Statutární město Chomutov</w:t>
      </w:r>
    </w:p>
    <w:p w14:paraId="0386A179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Zborovská 4602, 430 28 Chomutov</w:t>
      </w:r>
    </w:p>
    <w:p w14:paraId="5EED602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zastoupené primátorem JUDr. Markem Hrabáčem</w:t>
      </w:r>
    </w:p>
    <w:p w14:paraId="538E465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00261891; DIČ: CZ00261891</w:t>
      </w:r>
    </w:p>
    <w:p w14:paraId="142CEB05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1A40E4E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626441/0100</w:t>
      </w:r>
    </w:p>
    <w:p w14:paraId="469938D8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Město)</w:t>
      </w:r>
    </w:p>
    <w:p w14:paraId="7F269DA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077AA15B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Dopravní podnik měst Chomutova a Jirkova a. s.</w:t>
      </w:r>
    </w:p>
    <w:p w14:paraId="068CCE71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se sídlem Školní 999/6, 430 01 Chomutov</w:t>
      </w:r>
    </w:p>
    <w:p w14:paraId="62D8893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zapsaný v obchodním rejstříku Krajského soudu v Ústí nad Labem, vložka B/781,</w:t>
      </w:r>
    </w:p>
    <w:p w14:paraId="2815A7E0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zastoupený ředitelem Ing. Petrem Maxou</w:t>
      </w:r>
    </w:p>
    <w:p w14:paraId="61D6177C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IČ: 64053466; DIČ: CZ64053466</w:t>
      </w:r>
    </w:p>
    <w:p w14:paraId="6D4FEB74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bankovní spojení: Komerční banka, a. s., pobočka Chomutov</w:t>
      </w:r>
    </w:p>
    <w:p w14:paraId="2E08A133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číslo účtu: 2112500287/0100</w:t>
      </w:r>
    </w:p>
    <w:p w14:paraId="1C1CF646" w14:textId="77777777" w:rsidR="00874E85" w:rsidRPr="00874E85" w:rsidRDefault="00874E85" w:rsidP="00874E85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(dále jen Dopravce)</w:t>
      </w:r>
    </w:p>
    <w:p w14:paraId="1E209F9E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982F1D" w14:textId="77777777" w:rsidR="00874E85" w:rsidRPr="00874E85" w:rsidRDefault="00874E85" w:rsidP="00874E85">
      <w:pPr>
        <w:suppressAutoHyphens/>
        <w:spacing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I.</w:t>
      </w:r>
    </w:p>
    <w:p w14:paraId="3D5446A6" w14:textId="77777777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Preambule</w:t>
      </w:r>
    </w:p>
    <w:p w14:paraId="65272359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Výše uvedené smluvní strany uzavřely dne 4.1.2018„Smlouvu o veřejných službách v přepravě cestujících na území statutárního města Chomutov a o kompenzaci za tyto služby“ (dále jen „smlouva“). V této smlouvě se obě smluvní strany zavázaly, že v příslušném období každoročně uzavřou dodatek, kterým stanoví a aktualizují vybraná ustanovení na příslušný kalendářní rok. Zároveň se smluvní strany zavázaly provádět veškeré změny a doplňky písemnou formou a po dohodě obou smluvních stran.</w:t>
      </w:r>
    </w:p>
    <w:p w14:paraId="2983ED64" w14:textId="77777777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II.</w:t>
      </w:r>
    </w:p>
    <w:p w14:paraId="4536E9EC" w14:textId="00784254" w:rsidR="00874E85" w:rsidRPr="00874E85" w:rsidRDefault="00874E85" w:rsidP="00874E85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Předmět dodatku č. </w:t>
      </w:r>
      <w:r w:rsidR="00107EB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</w:p>
    <w:p w14:paraId="66B8DF58" w14:textId="20954006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Předmětem dodatku č. </w:t>
      </w:r>
      <w:r w:rsidR="00107EB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je:</w:t>
      </w:r>
    </w:p>
    <w:p w14:paraId="5D5D204A" w14:textId="5C80728A" w:rsidR="00874E85" w:rsidRPr="00874E85" w:rsidRDefault="00874E85" w:rsidP="00874E85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a)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stanovení výše odhadované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023D753" w14:textId="102D0268" w:rsidR="005A4B4B" w:rsidRPr="00BE3892" w:rsidRDefault="00874E85" w:rsidP="0057709B">
      <w:pPr>
        <w:suppressAutoHyphens/>
        <w:spacing w:after="0" w:line="276" w:lineRule="auto"/>
        <w:ind w:left="357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b)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aktualizace jízdních řádů MHD (příloha č. 1)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F4CF9F9" w14:textId="29C21AB6" w:rsidR="00874E85" w:rsidRPr="00874E85" w:rsidRDefault="0057709B" w:rsidP="00342BD6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5A4B4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aktualizace výchozího finančního modelu plánovaných nákladů, výnosů a čistého příjmu, a to jak pro veřejnou linkovou dopravu – městskou autobusovou dopravu, tak pro veřejnou drážní osobní dopravu trolejbusovou (přílohy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3b)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71EA85C" w14:textId="1687842C" w:rsidR="00874E85" w:rsidRDefault="0057709B" w:rsidP="00376711">
      <w:pPr>
        <w:suppressAutoHyphens/>
        <w:spacing w:after="0" w:line="276" w:lineRule="auto"/>
        <w:ind w:left="709" w:right="-108" w:hanging="35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aktualizace výchozího modelu provozních aktiv, a to jak pro veřejnou linkovou dopravu – městskou autobusovou dopravu, tak pro veřejnou drážní osobní dopravu trolejbusovou (přílohy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4b)</w:t>
      </w:r>
      <w:r w:rsidR="00A13BF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897C796" w14:textId="77777777" w:rsidR="00A13BFE" w:rsidRPr="00874E85" w:rsidRDefault="00A13BFE" w:rsidP="00342BD6">
      <w:pPr>
        <w:suppressAutoHyphens/>
        <w:spacing w:after="0" w:line="276" w:lineRule="auto"/>
        <w:ind w:left="709" w:right="-10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2DC8A1" w14:textId="60270576" w:rsidR="00874E85" w:rsidRPr="00874E85" w:rsidRDefault="00874E85" w:rsidP="00BE3892">
      <w:pPr>
        <w:suppressAutoHyphens/>
        <w:spacing w:after="0" w:line="276" w:lineRule="auto"/>
        <w:ind w:left="284"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0415F2" w14:textId="77777777" w:rsidR="00AC4599" w:rsidRDefault="00AC4599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76C863" w14:textId="2B2895B5" w:rsidR="00874E85" w:rsidRPr="00874E85" w:rsidRDefault="00874E85" w:rsidP="00874E85">
      <w:pPr>
        <w:suppressAutoHyphens/>
        <w:spacing w:before="120" w:after="120" w:line="276" w:lineRule="auto"/>
        <w:ind w:right="-108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III.</w:t>
      </w:r>
    </w:p>
    <w:p w14:paraId="00F28092" w14:textId="67E64D78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Výše odhadované kompenzace pro rok 20</w:t>
      </w:r>
      <w:r w:rsidR="002E414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  <w:r w:rsidR="005770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</w:t>
      </w:r>
    </w:p>
    <w:p w14:paraId="723B053A" w14:textId="7E413ED2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základě Výchozího finančního modelu nákladů, výnosů a čistého příjmu: veřejná drážní osobní doprava trolejbusová a Výchozího finančního modelu nákladů, výnosů a čistého příjmu: veřejná linková </w:t>
      </w:r>
      <w:proofErr w:type="gramStart"/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doprava - městská</w:t>
      </w:r>
      <w:proofErr w:type="gramEnd"/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autobusová doprava byla stanovena kompenzace pro rok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ve výši</w:t>
      </w:r>
      <w:r w:rsidR="00AC4599" w:rsidRPr="00AC4599">
        <w:t xml:space="preserve"> 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82 437 100</w:t>
      </w:r>
      <w:r w:rsidR="00AC4599" w:rsidRP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Kč (slovy: osmdesát 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dva milionů čtyři sta třicet sedm tisíc sto</w:t>
      </w:r>
      <w:r w:rsidR="00AC4599" w:rsidRPr="00AC45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korun).</w:t>
      </w:r>
    </w:p>
    <w:p w14:paraId="5D447802" w14:textId="77777777" w:rsidR="002E4140" w:rsidRDefault="002E4140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6BCC65C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IV.</w:t>
      </w:r>
    </w:p>
    <w:p w14:paraId="331284E6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Změny smlouvy</w:t>
      </w:r>
    </w:p>
    <w:p w14:paraId="0C8C1AF7" w14:textId="77777777" w:rsidR="00A13BFE" w:rsidRDefault="00874E85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1. Příloha č. 1 smlouvy se ruší a nahrazuje se aktualizovanou přílohou č. 1, která je přílohou tohoto dodatku.</w:t>
      </w:r>
    </w:p>
    <w:p w14:paraId="4141D185" w14:textId="3F68F07D" w:rsidR="00874E85" w:rsidRPr="00874E85" w:rsidRDefault="0057709B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3a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3b smlouvy se ruší a nahrazují se aktualizovanými přílohami č. 3a a 3b, které jsou přílohami tohoto dodatku.</w:t>
      </w:r>
    </w:p>
    <w:p w14:paraId="150FB875" w14:textId="37DEBA3C" w:rsidR="00874E85" w:rsidRDefault="0057709B" w:rsidP="002C0D4A">
      <w:pPr>
        <w:suppressAutoHyphens/>
        <w:spacing w:after="12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Přílohy č. </w:t>
      </w:r>
      <w:proofErr w:type="gramStart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4a</w:t>
      </w:r>
      <w:proofErr w:type="gramEnd"/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4b smlouvy se ruší a nahrazují se aktualizovanými přílohami č. 4a a 4b, které jsou přílohami tohoto dodatku.</w:t>
      </w:r>
    </w:p>
    <w:p w14:paraId="29DB8962" w14:textId="77777777" w:rsidR="00A13BFE" w:rsidRPr="00BE3892" w:rsidRDefault="00A13BFE" w:rsidP="00BE3892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A8478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V.</w:t>
      </w:r>
    </w:p>
    <w:p w14:paraId="4618CE4E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Ostatní ustanovení</w:t>
      </w:r>
    </w:p>
    <w:p w14:paraId="40AF5097" w14:textId="18C5F6CD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Nedílnou součástí dodatku č. </w:t>
      </w:r>
      <w:r w:rsidR="00107EB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jsou přílohy:</w:t>
      </w:r>
    </w:p>
    <w:p w14:paraId="20B38AEC" w14:textId="539497C3" w:rsidR="00874E85" w:rsidRPr="00BE3892" w:rsidRDefault="00874E85" w:rsidP="00376711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892">
        <w:rPr>
          <w:rFonts w:ascii="Times New Roman" w:eastAsia="Times New Roman" w:hAnsi="Times New Roman" w:cs="Times New Roman"/>
          <w:sz w:val="24"/>
          <w:szCs w:val="24"/>
          <w:lang w:eastAsia="ar-SA"/>
        </w:rPr>
        <w:t>Jízdní řády MHD (příloha č. 1)</w:t>
      </w:r>
    </w:p>
    <w:p w14:paraId="22E53FF3" w14:textId="38036BD8" w:rsidR="00874E85" w:rsidRPr="004C0792" w:rsidRDefault="00874E85" w:rsidP="004C0792">
      <w:pPr>
        <w:pStyle w:val="Odstavecseseznamem"/>
        <w:numPr>
          <w:ilvl w:val="0"/>
          <w:numId w:val="2"/>
        </w:numPr>
        <w:suppressAutoHyphens/>
        <w:spacing w:after="0" w:line="276" w:lineRule="auto"/>
        <w:ind w:left="782" w:right="-108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07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Výchozí finanční model nákladů, výnosů a čistého příjmu: veřejná linková </w:t>
      </w:r>
      <w:proofErr w:type="gramStart"/>
      <w:r w:rsidRPr="004C0792">
        <w:rPr>
          <w:rFonts w:ascii="Times New Roman" w:eastAsia="Times New Roman" w:hAnsi="Times New Roman" w:cs="Times New Roman"/>
          <w:sz w:val="24"/>
          <w:szCs w:val="24"/>
          <w:lang w:eastAsia="ar-SA"/>
        </w:rPr>
        <w:t>doprava - městská</w:t>
      </w:r>
      <w:proofErr w:type="gramEnd"/>
      <w:r w:rsidRPr="004C07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autobusová doprava (příloha č. 3a)</w:t>
      </w:r>
    </w:p>
    <w:p w14:paraId="4FD31A4E" w14:textId="0F5D0EA0" w:rsidR="00874E85" w:rsidRPr="00874E85" w:rsidRDefault="0057709B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finanční model nákladů, výnosů a čistého příjmu: veřejná drážní osobní doprava trolejbusová</w:t>
      </w:r>
      <w:r w:rsidR="002C0D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(příloha č. 3b)</w:t>
      </w:r>
    </w:p>
    <w:p w14:paraId="70A4F1AF" w14:textId="0006DB35" w:rsidR="00874E85" w:rsidRPr="00874E85" w:rsidRDefault="0057709B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d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model provozních aktiv: veřejná linková doprava – městská autobusová doprava (příloha č. 4a)</w:t>
      </w:r>
    </w:p>
    <w:p w14:paraId="02D8AE21" w14:textId="221433E2" w:rsidR="00874E85" w:rsidRDefault="0057709B" w:rsidP="002C0D4A">
      <w:pPr>
        <w:suppressAutoHyphens/>
        <w:spacing w:after="0" w:line="276" w:lineRule="auto"/>
        <w:ind w:left="709" w:right="-108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e</w:t>
      </w:r>
      <w:r w:rsidR="002E6B4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Výchozí model provozních aktiv: veřejná drážní osobní doprava trolejbusová (příloha č.</w:t>
      </w:r>
      <w:r w:rsidR="002C0D4A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874E85"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4b)</w:t>
      </w:r>
    </w:p>
    <w:p w14:paraId="15CA33D7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336D91" w14:textId="77777777" w:rsidR="00874E85" w:rsidRPr="00874E85" w:rsidRDefault="00874E85" w:rsidP="002C0D4A">
      <w:pPr>
        <w:suppressAutoHyphens/>
        <w:spacing w:after="0"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VI.</w:t>
      </w:r>
    </w:p>
    <w:p w14:paraId="14FEF878" w14:textId="77777777" w:rsidR="00874E85" w:rsidRPr="00874E85" w:rsidRDefault="00874E85" w:rsidP="002C0D4A">
      <w:pPr>
        <w:suppressAutoHyphens/>
        <w:spacing w:line="276" w:lineRule="auto"/>
        <w:ind w:right="-1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Závěrečná ustanovení</w:t>
      </w:r>
    </w:p>
    <w:p w14:paraId="148ECE31" w14:textId="7D99C7E2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Platnost dodatku č. </w:t>
      </w:r>
      <w:r w:rsidR="00107EB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nastává dnem jeho podpisu oběma smluvními stranami. Jeho účinnost nastává dnem 1. 1. 20</w:t>
      </w:r>
      <w:r w:rsidR="00592118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88E2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766F9F" w14:textId="7DC9F32C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uzavření dodatku č. 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rozhodlo zastupitelstvo statutárního města Chomutov usnesením </w:t>
      </w:r>
      <w:r w:rsidRP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č.</w:t>
      </w:r>
      <w:r w:rsidR="00160171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="00324E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ze dne</w:t>
      </w:r>
      <w:r w:rsidR="0057709B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 w:rsidR="00324EC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DA4F236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ECFE72" w14:textId="0F963482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Dodatek č. </w:t>
      </w:r>
      <w:r w:rsidR="00107EB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je vyhotoven ve čtyřech originálních výtiscích, z nichž každá smluvní strana obdrží dva originály výtisků.</w:t>
      </w:r>
    </w:p>
    <w:p w14:paraId="7DEA4CED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Smluvní strany berou na vědomí, že text smlouvy a jejích dodatků je veřejně přístupnou listinou ve smyslu zákona o svobodném přístupu k informacím a že statutární město Chomutov jako povinný subjekt má povinnost na žádost žadatele poskytnout informace o tomto smluvním vztahu včetně poskytnutí kopie smlouvy a jejích dodatků. Smluvní strany dále souhlasí se zveřejněním této smlouvy a jejích dodatků v registru smluv zřízeném zák. č. 340/2015 Sb.</w:t>
      </w:r>
    </w:p>
    <w:p w14:paraId="2096277F" w14:textId="77777777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B75EF4E" w14:textId="106923CA" w:rsidR="00874E85" w:rsidRPr="00874E85" w:rsidRDefault="00874E85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Obě smluvní strany souhlasí se zněním dodatku č. </w:t>
      </w:r>
      <w:r w:rsidR="00107EB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874E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svůj souhlas potvrzují podpisem oprávněných zástupců.</w:t>
      </w:r>
    </w:p>
    <w:p w14:paraId="366A57B5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B38276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A0BC31" w14:textId="77777777" w:rsidR="005E5B86" w:rsidRDefault="005E5B86" w:rsidP="00874E85">
      <w:pPr>
        <w:suppressAutoHyphens/>
        <w:spacing w:after="0" w:line="276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10"/>
        <w:gridCol w:w="4763"/>
      </w:tblGrid>
      <w:tr w:rsidR="005E5B86" w:rsidRPr="005E5B86" w14:paraId="76AE2FA4" w14:textId="77777777" w:rsidTr="00647448">
        <w:tc>
          <w:tcPr>
            <w:tcW w:w="4361" w:type="dxa"/>
            <w:shd w:val="clear" w:color="auto" w:fill="auto"/>
          </w:tcPr>
          <w:p w14:paraId="766056A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  <w:tc>
          <w:tcPr>
            <w:tcW w:w="4851" w:type="dxa"/>
            <w:shd w:val="clear" w:color="auto" w:fill="auto"/>
          </w:tcPr>
          <w:p w14:paraId="68EA117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 Chomutově, dne</w:t>
            </w:r>
          </w:p>
        </w:tc>
      </w:tr>
      <w:tr w:rsidR="005E5B86" w:rsidRPr="005E5B86" w14:paraId="26CAD75D" w14:textId="77777777" w:rsidTr="00647448">
        <w:tc>
          <w:tcPr>
            <w:tcW w:w="4361" w:type="dxa"/>
            <w:shd w:val="clear" w:color="auto" w:fill="auto"/>
          </w:tcPr>
          <w:p w14:paraId="1366A61C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3FF39A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51532EA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F30BF7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C2DFE11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5B7890BD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B55963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Statutární město Chomutov</w:t>
            </w:r>
          </w:p>
          <w:p w14:paraId="5D6FFFD0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CB5ADD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primátor</w:t>
            </w:r>
          </w:p>
          <w:p w14:paraId="50DC1FA6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JUDr. Marek Hrabáč</w:t>
            </w:r>
          </w:p>
        </w:tc>
        <w:tc>
          <w:tcPr>
            <w:tcW w:w="4851" w:type="dxa"/>
            <w:shd w:val="clear" w:color="auto" w:fill="auto"/>
          </w:tcPr>
          <w:p w14:paraId="27B702C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2F1DC6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3A1A5BA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6B5F9487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CD1F59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……………………………………..</w:t>
            </w:r>
          </w:p>
          <w:p w14:paraId="2DC71665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B2DC2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Dopravní podnik měst Chomutova a Jirkova a. s.</w:t>
            </w:r>
          </w:p>
          <w:p w14:paraId="6DB5D974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46423EF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ředitel společnosti</w:t>
            </w:r>
          </w:p>
          <w:p w14:paraId="40C37E23" w14:textId="77777777" w:rsidR="005E5B86" w:rsidRPr="005E5B86" w:rsidRDefault="005E5B86" w:rsidP="00874E85">
            <w:pPr>
              <w:suppressAutoHyphens/>
              <w:spacing w:after="0" w:line="276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E5B8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Ing. Petr Maxa</w:t>
            </w:r>
          </w:p>
        </w:tc>
      </w:tr>
    </w:tbl>
    <w:p w14:paraId="4EB4CBAC" w14:textId="77777777" w:rsidR="005E5B86" w:rsidRPr="005E5B86" w:rsidRDefault="005E5B86" w:rsidP="005E5B86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F66ADE" w14:textId="77777777" w:rsidR="005E5B86" w:rsidRPr="005E5B86" w:rsidRDefault="005E5B86" w:rsidP="005E5B86">
      <w:pPr>
        <w:rPr>
          <w:rFonts w:ascii="Times New Roman" w:hAnsi="Times New Roman" w:cs="Times New Roman"/>
          <w:b/>
          <w:sz w:val="24"/>
          <w:szCs w:val="24"/>
        </w:rPr>
      </w:pPr>
    </w:p>
    <w:sectPr w:rsidR="005E5B86" w:rsidRPr="005E5B86" w:rsidSect="00874E85">
      <w:headerReference w:type="default" r:id="rId7"/>
      <w:footerReference w:type="default" r:id="rId8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A1A1F" w14:textId="77777777" w:rsidR="005C5542" w:rsidRDefault="005C5542" w:rsidP="007464F3">
      <w:pPr>
        <w:spacing w:after="0" w:line="240" w:lineRule="auto"/>
      </w:pPr>
      <w:r>
        <w:separator/>
      </w:r>
    </w:p>
  </w:endnote>
  <w:endnote w:type="continuationSeparator" w:id="0">
    <w:p w14:paraId="274E5CF3" w14:textId="77777777" w:rsidR="005C5542" w:rsidRDefault="005C5542" w:rsidP="00746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86342" w14:textId="2AF2356E" w:rsidR="009503A1" w:rsidRPr="009503A1" w:rsidRDefault="009503A1" w:rsidP="009503A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9503A1">
      <w:rPr>
        <w:rFonts w:ascii="Times New Roman" w:eastAsia="Times New Roman" w:hAnsi="Times New Roman" w:cs="Times New Roman"/>
        <w:sz w:val="24"/>
        <w:szCs w:val="24"/>
        <w:lang w:eastAsia="cs-CZ"/>
      </w:rPr>
      <w:t xml:space="preserve">Strana </w:t>
    </w:r>
    <w:sdt>
      <w:sdtPr>
        <w:rPr>
          <w:rFonts w:ascii="Times New Roman" w:eastAsia="Times New Roman" w:hAnsi="Times New Roman" w:cs="Times New Roman"/>
          <w:sz w:val="24"/>
          <w:szCs w:val="24"/>
          <w:lang w:eastAsia="cs-CZ"/>
        </w:rPr>
        <w:id w:val="1403561781"/>
        <w:docPartObj>
          <w:docPartGallery w:val="Page Numbers (Bottom of Page)"/>
          <w:docPartUnique/>
        </w:docPartObj>
      </w:sdtPr>
      <w:sdtEndPr/>
      <w:sdtContent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begin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instrText>PAGE   \* MERGEFORMAT</w:instrTex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separate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1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fldChar w:fldCharType="end"/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z</w:t>
        </w:r>
        <w:r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e</w:t>
        </w:r>
        <w:r w:rsidRPr="009503A1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 xml:space="preserve"> </w:t>
        </w:r>
      </w:sdtContent>
    </w:sdt>
    <w:r w:rsidR="00320528">
      <w:rPr>
        <w:rFonts w:ascii="Times New Roman" w:eastAsia="Times New Roman" w:hAnsi="Times New Roman" w:cs="Times New Roman"/>
        <w:sz w:val="24"/>
        <w:szCs w:val="24"/>
        <w:lang w:eastAsia="cs-CZ"/>
      </w:rPr>
      <w:t>3</w:t>
    </w:r>
  </w:p>
  <w:p w14:paraId="68148B74" w14:textId="77777777" w:rsidR="009503A1" w:rsidRDefault="009503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6029A" w14:textId="77777777" w:rsidR="005C5542" w:rsidRDefault="005C5542" w:rsidP="007464F3">
      <w:pPr>
        <w:spacing w:after="0" w:line="240" w:lineRule="auto"/>
      </w:pPr>
      <w:r>
        <w:separator/>
      </w:r>
    </w:p>
  </w:footnote>
  <w:footnote w:type="continuationSeparator" w:id="0">
    <w:p w14:paraId="5C9864B0" w14:textId="77777777" w:rsidR="005C5542" w:rsidRDefault="005C5542" w:rsidP="00746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44BF6" w14:textId="2C8EB794" w:rsidR="007464F3" w:rsidRPr="009503A1" w:rsidRDefault="007464F3">
    <w:pPr>
      <w:pStyle w:val="Zhlav"/>
      <w:rPr>
        <w:sz w:val="24"/>
      </w:rPr>
    </w:pPr>
    <w:r w:rsidRPr="009503A1">
      <w:rPr>
        <w:sz w:val="24"/>
      </w:rPr>
      <w:ptab w:relativeTo="margin" w:alignment="center" w:leader="none"/>
    </w:r>
    <w:r w:rsidRPr="009503A1">
      <w:rPr>
        <w:rFonts w:ascii="Times New Roman" w:hAnsi="Times New Roman" w:cs="Times New Roman"/>
        <w:sz w:val="24"/>
      </w:rPr>
      <w:ptab w:relativeTo="margin" w:alignment="right" w:leader="none"/>
    </w:r>
    <w:r w:rsidRPr="009503A1">
      <w:rPr>
        <w:rFonts w:ascii="Times New Roman" w:hAnsi="Times New Roman" w:cs="Times New Roman"/>
        <w:sz w:val="24"/>
      </w:rPr>
      <w:t xml:space="preserve">Dodatek č. </w:t>
    </w:r>
    <w:r w:rsidR="00107EBD">
      <w:rPr>
        <w:rFonts w:ascii="Times New Roman" w:hAnsi="Times New Roman" w:cs="Times New Roman"/>
        <w:sz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A37498"/>
    <w:multiLevelType w:val="hybridMultilevel"/>
    <w:tmpl w:val="36301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D763F"/>
    <w:multiLevelType w:val="hybridMultilevel"/>
    <w:tmpl w:val="8612C460"/>
    <w:lvl w:ilvl="0" w:tplc="4F1AF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02"/>
    <w:rsid w:val="00091444"/>
    <w:rsid w:val="00104E97"/>
    <w:rsid w:val="00107EBD"/>
    <w:rsid w:val="00120B00"/>
    <w:rsid w:val="001413AD"/>
    <w:rsid w:val="00160171"/>
    <w:rsid w:val="00165FDC"/>
    <w:rsid w:val="001A79A4"/>
    <w:rsid w:val="00235532"/>
    <w:rsid w:val="00256B50"/>
    <w:rsid w:val="002A1D58"/>
    <w:rsid w:val="002C0D4A"/>
    <w:rsid w:val="002E4140"/>
    <w:rsid w:val="002E6B44"/>
    <w:rsid w:val="00320528"/>
    <w:rsid w:val="00324EC7"/>
    <w:rsid w:val="00342BD6"/>
    <w:rsid w:val="00376711"/>
    <w:rsid w:val="003A1C67"/>
    <w:rsid w:val="003D3354"/>
    <w:rsid w:val="00422E03"/>
    <w:rsid w:val="0048714A"/>
    <w:rsid w:val="004C0792"/>
    <w:rsid w:val="004E50A3"/>
    <w:rsid w:val="0057709B"/>
    <w:rsid w:val="00592118"/>
    <w:rsid w:val="005A4B4B"/>
    <w:rsid w:val="005C5542"/>
    <w:rsid w:val="005E5B86"/>
    <w:rsid w:val="005F6714"/>
    <w:rsid w:val="007464F3"/>
    <w:rsid w:val="007D2C10"/>
    <w:rsid w:val="00867DBA"/>
    <w:rsid w:val="00874E85"/>
    <w:rsid w:val="009503A1"/>
    <w:rsid w:val="00A13BFE"/>
    <w:rsid w:val="00AC4599"/>
    <w:rsid w:val="00B91E02"/>
    <w:rsid w:val="00BE3892"/>
    <w:rsid w:val="00C0730A"/>
    <w:rsid w:val="00C51CFE"/>
    <w:rsid w:val="00D326CB"/>
    <w:rsid w:val="00D7072F"/>
    <w:rsid w:val="00E624A2"/>
    <w:rsid w:val="00F1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083"/>
  <w15:chartTrackingRefBased/>
  <w15:docId w15:val="{16B0ECD7-B258-4DDE-AFF2-25E853F3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D335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64F3"/>
  </w:style>
  <w:style w:type="paragraph" w:styleId="Zpat">
    <w:name w:val="footer"/>
    <w:basedOn w:val="Normln"/>
    <w:link w:val="ZpatChar"/>
    <w:uiPriority w:val="99"/>
    <w:unhideWhenUsed/>
    <w:rsid w:val="00746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64F3"/>
  </w:style>
  <w:style w:type="paragraph" w:styleId="Textbubliny">
    <w:name w:val="Balloon Text"/>
    <w:basedOn w:val="Normln"/>
    <w:link w:val="TextbublinyChar"/>
    <w:uiPriority w:val="99"/>
    <w:semiHidden/>
    <w:unhideWhenUsed/>
    <w:rsid w:val="00AC45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45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625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Šoltová</dc:creator>
  <cp:keywords/>
  <dc:description/>
  <cp:lastModifiedBy>Matějková Romana</cp:lastModifiedBy>
  <cp:revision>2</cp:revision>
  <cp:lastPrinted>2018-08-29T06:18:00Z</cp:lastPrinted>
  <dcterms:created xsi:type="dcterms:W3CDTF">2021-10-27T13:58:00Z</dcterms:created>
  <dcterms:modified xsi:type="dcterms:W3CDTF">2021-10-27T13:58:00Z</dcterms:modified>
</cp:coreProperties>
</file>